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759BE0">
      <w:pPr>
        <w:widowControl w:val="0"/>
        <w:spacing w:after="0" w:line="560" w:lineRule="exact"/>
        <w:jc w:val="both"/>
        <w:rPr>
          <w:rFonts w:hint="eastAsia" w:ascii="黑体" w:hAnsi="黑体" w:eastAsia="黑体" w:cs="Times New Roman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Times New Roman"/>
          <w:sz w:val="32"/>
          <w:szCs w:val="32"/>
          <w:lang w:val="en-US" w:eastAsia="zh-CN"/>
        </w:rPr>
        <w:t>附件</w:t>
      </w:r>
    </w:p>
    <w:p w14:paraId="4F6B2FA3">
      <w:pPr>
        <w:widowControl w:val="0"/>
        <w:spacing w:after="0" w:line="560" w:lineRule="exact"/>
        <w:jc w:val="center"/>
        <w:rPr>
          <w:rFonts w:hint="eastAsia" w:ascii="方正小标宋_GBK" w:hAnsi="等线" w:eastAsia="方正小标宋_GBK" w:cs="Times New Roman"/>
          <w:sz w:val="44"/>
          <w:szCs w:val="44"/>
          <w:lang w:val="en-US" w:eastAsia="zh-CN"/>
        </w:rPr>
      </w:pPr>
      <w:r>
        <w:rPr>
          <w:rFonts w:hint="eastAsia" w:ascii="方正小标宋_GBK" w:hAnsi="等线" w:eastAsia="方正小标宋_GBK" w:cs="Times New Roman"/>
          <w:sz w:val="44"/>
          <w:szCs w:val="44"/>
          <w:lang w:val="en-US" w:eastAsia="zh-CN"/>
        </w:rPr>
        <w:t>青岛市企业应急引导基金服务体系</w:t>
      </w:r>
    </w:p>
    <w:p w14:paraId="31927D8E">
      <w:pPr>
        <w:widowControl w:val="0"/>
        <w:spacing w:after="0" w:line="560" w:lineRule="exact"/>
        <w:jc w:val="center"/>
        <w:rPr>
          <w:rFonts w:hint="eastAsia" w:ascii="方正小标宋_GBK" w:hAnsi="等线" w:eastAsia="方正小标宋_GBK" w:cs="Times New Roman"/>
          <w:sz w:val="44"/>
          <w:szCs w:val="44"/>
          <w:lang w:val="en-US" w:eastAsia="zh-CN"/>
        </w:rPr>
      </w:pPr>
      <w:r>
        <w:rPr>
          <w:rFonts w:hint="eastAsia" w:ascii="方正小标宋_GBK" w:hAnsi="等线" w:eastAsia="方正小标宋_GBK" w:cs="Times New Roman"/>
          <w:sz w:val="44"/>
          <w:szCs w:val="44"/>
          <w:lang w:val="en-US" w:eastAsia="zh-CN"/>
        </w:rPr>
        <w:t>2025年第一批备案机构名单</w:t>
      </w:r>
    </w:p>
    <w:bookmarkEnd w:id="0"/>
    <w:p w14:paraId="540BB24F">
      <w:pPr>
        <w:keepNext w:val="0"/>
        <w:keepLines w:val="0"/>
        <w:pageBreakBefore w:val="0"/>
        <w:widowControl w:val="0"/>
        <w:spacing w:after="0" w:line="240" w:lineRule="auto"/>
        <w:jc w:val="center"/>
        <w:rPr>
          <w:rFonts w:hint="eastAsia" w:ascii="仿宋_GB2312" w:hAnsi="等线" w:eastAsia="仿宋_GB2312" w:cs="Times New Roman"/>
          <w:color w:val="000000"/>
          <w:sz w:val="32"/>
          <w:szCs w:val="32"/>
          <w:lang w:val="en-US" w:eastAsia="zh-CN"/>
        </w:rPr>
      </w:pPr>
    </w:p>
    <w:p w14:paraId="71FF91C5">
      <w:pPr>
        <w:widowControl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after="200" w:line="560" w:lineRule="exact"/>
        <w:ind w:firstLine="641"/>
        <w:jc w:val="left"/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（排名不分先后）</w:t>
      </w:r>
    </w:p>
    <w:p w14:paraId="0FEBC328">
      <w:pPr>
        <w:widowControl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after="200" w:line="560" w:lineRule="exact"/>
        <w:ind w:firstLine="641"/>
        <w:jc w:val="left"/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青岛元通投资有限公司</w:t>
      </w:r>
    </w:p>
    <w:p w14:paraId="663C009F">
      <w:pPr>
        <w:widowControl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after="200" w:line="560" w:lineRule="exact"/>
        <w:ind w:firstLine="641"/>
        <w:jc w:val="left"/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正合顺（青岛）投资发展有限公司</w:t>
      </w:r>
    </w:p>
    <w:p w14:paraId="68FD3AD0">
      <w:pPr>
        <w:widowControl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after="200" w:line="560" w:lineRule="exact"/>
        <w:ind w:firstLine="641"/>
        <w:jc w:val="left"/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青岛拓达畅行投资有限公司</w:t>
      </w:r>
    </w:p>
    <w:p w14:paraId="52301FC9">
      <w:pPr>
        <w:widowControl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after="200" w:line="560" w:lineRule="exact"/>
        <w:ind w:firstLine="641"/>
        <w:jc w:val="left"/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青岛汇德润投资咨询管理有限公司</w:t>
      </w:r>
    </w:p>
    <w:p w14:paraId="567F28DF">
      <w:pPr>
        <w:widowControl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after="200" w:line="560" w:lineRule="exact"/>
        <w:ind w:firstLine="641"/>
        <w:jc w:val="left"/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山东融越网络小额贷款有限公司</w:t>
      </w:r>
    </w:p>
    <w:p w14:paraId="335029A1">
      <w:pPr>
        <w:widowControl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after="200" w:line="560" w:lineRule="exact"/>
        <w:ind w:firstLine="641"/>
        <w:jc w:val="left"/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青岛市人力资源集团有限公司</w:t>
      </w:r>
    </w:p>
    <w:p w14:paraId="60BADDB6">
      <w:pPr>
        <w:widowControl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after="200" w:line="560" w:lineRule="exact"/>
        <w:ind w:firstLine="641"/>
        <w:jc w:val="left"/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青岛惠丰金投投资中心（有限合伙）</w:t>
      </w:r>
    </w:p>
    <w:p w14:paraId="49333765">
      <w:pPr>
        <w:widowControl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after="200" w:line="560" w:lineRule="exact"/>
        <w:ind w:firstLine="641"/>
        <w:jc w:val="left"/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青岛立辰汇融企业管理有限公司</w:t>
      </w:r>
    </w:p>
    <w:p w14:paraId="0E473E6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3000509000000000000"/>
    <w:charset w:val="00"/>
    <w:family w:val="auto"/>
    <w:pitch w:val="default"/>
    <w:sig w:usb0="00000000" w:usb1="00000000" w:usb2="00000000" w:usb3="00000000" w:csb0="0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